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26" w:rsidRDefault="00EE7930">
      <w:pPr>
        <w:spacing w:after="254" w:line="240" w:lineRule="auto"/>
        <w:ind w:left="0" w:firstLine="0"/>
        <w:jc w:val="left"/>
      </w:pPr>
      <w:bookmarkStart w:id="0" w:name="_GoBack"/>
      <w:bookmarkEnd w:id="0"/>
      <w:r>
        <w:t xml:space="preserve">      </w:t>
      </w:r>
    </w:p>
    <w:p w:rsidR="00A02626" w:rsidRDefault="00EE7930">
      <w:pPr>
        <w:spacing w:after="256" w:line="240" w:lineRule="auto"/>
        <w:ind w:left="0" w:firstLine="0"/>
        <w:jc w:val="center"/>
      </w:pPr>
      <w:r>
        <w:t xml:space="preserve"> </w:t>
      </w:r>
    </w:p>
    <w:p w:rsidR="00A02626" w:rsidRDefault="00EE7930">
      <w:pPr>
        <w:spacing w:after="255" w:line="276" w:lineRule="auto"/>
        <w:ind w:left="10" w:right="-15"/>
        <w:jc w:val="center"/>
      </w:pPr>
      <w:r>
        <w:t xml:space="preserve">EDICTO </w:t>
      </w:r>
    </w:p>
    <w:p w:rsidR="00A02626" w:rsidRDefault="00EE7930">
      <w:pPr>
        <w:spacing w:after="252" w:line="240" w:lineRule="auto"/>
        <w:ind w:left="13" w:firstLine="0"/>
        <w:jc w:val="left"/>
      </w:pPr>
      <w:r>
        <w:t xml:space="preserve"> </w:t>
      </w:r>
    </w:p>
    <w:p w:rsidR="00A02626" w:rsidRDefault="00EE7930">
      <w:r>
        <w:t xml:space="preserve">             De conformidad con lo dispuesto en el artículo 44 de la Ley 39/2015, de 1 de octubre del Procedimiento Administrativo Común de las Administraciones Públicas y no habiendo sido posible practicar notificación a los titulares de los nichos sobre </w:t>
      </w:r>
      <w:r>
        <w:t xml:space="preserve">los que se van a acometer la rehabilitación en el Cementerio municipal, se hace pública la Resolución de Alcaldía nº 855 de fecha 28 de Septiembre de 2018, del siguiente tenor literal   </w:t>
      </w:r>
    </w:p>
    <w:p w:rsidR="00A02626" w:rsidRDefault="00EE7930">
      <w:pPr>
        <w:ind w:left="-2" w:firstLine="648"/>
      </w:pPr>
      <w:r>
        <w:t>“Por este Ayuntamiento a través de la empresa "Construcciones y Promo</w:t>
      </w:r>
      <w:r>
        <w:t xml:space="preserve">ciones Béticas 2012. S.L.", se está ejecutando la obra "Rehabilitación de nichos y ejecución de red de saneamiento en el cementerio municipal”. </w:t>
      </w:r>
    </w:p>
    <w:p w:rsidR="00A02626" w:rsidRDefault="00EE7930">
      <w:r>
        <w:t xml:space="preserve">      Siendo necesario para  la reparación de los nichos nº183 al nº186 y del nº188 al nº194, con emplazamiento</w:t>
      </w:r>
      <w:r>
        <w:t xml:space="preserve"> en calle San Andrés del Cementerio Municipal", la exhumación de los restos cadavéricos que se encuentran en los mismos y su depósito en lugar adecuado y una vez finalizadas las obras de adecentamiento de los mismos proceder a su inhumación en el nicho ori</w:t>
      </w:r>
      <w:r>
        <w:t xml:space="preserve">ginario. </w:t>
      </w:r>
    </w:p>
    <w:p w:rsidR="00A02626" w:rsidRDefault="00EE7930">
      <w:pPr>
        <w:spacing w:after="38"/>
      </w:pPr>
      <w:r>
        <w:t xml:space="preserve">      Visto lo establecido en los artículos 23 y 24 del Decreto 95/2001, de 3 de Abril, `por el que se aprueba el Reglamento de Policía Sanitaria Mortuoria de Andalucía y en base a las atribuciones que me confiere el artículo 21.1.s) de la Ley 7/</w:t>
      </w:r>
      <w:r>
        <w:t xml:space="preserve">85 de 2 de Abril, Reguladora de las Bases de Régimen Local, HE </w:t>
      </w:r>
    </w:p>
    <w:p w:rsidR="00A02626" w:rsidRDefault="00EE7930">
      <w:r>
        <w:t xml:space="preserve">RESUELTO. </w:t>
      </w:r>
    </w:p>
    <w:p w:rsidR="00A02626" w:rsidRDefault="00EE7930">
      <w:pPr>
        <w:spacing w:after="252" w:line="237" w:lineRule="auto"/>
        <w:ind w:left="9" w:hanging="9"/>
        <w:jc w:val="left"/>
      </w:pPr>
      <w:r>
        <w:t xml:space="preserve">     PRIMERO: Autorizar de oficio la exhumación de los restos cadavéricos de los nichos nº183 al nº186 y del nº188 al 194, con emplazamiento en Calle San Andrés del Cementerio Munic</w:t>
      </w:r>
      <w:r>
        <w:t xml:space="preserve">ipal, para su depósito en lugar habilitado al efecto. </w:t>
      </w:r>
    </w:p>
    <w:p w:rsidR="00A02626" w:rsidRDefault="00EE7930">
      <w:r>
        <w:t xml:space="preserve">     SEGUNDO: Indicar que una vez finalizadas las obras de rehabilitación se procederá a su inhumación en el nicho originario. </w:t>
      </w:r>
    </w:p>
    <w:p w:rsidR="00A02626" w:rsidRDefault="00EE7930">
      <w:r>
        <w:t xml:space="preserve">     TERCERO: Ordenar de conformidad con el artículo 44 de la Ley 39/2015</w:t>
      </w:r>
      <w:r>
        <w:t xml:space="preserve">, de 1 de octubre del Procedimiento Administrativo Común de las Administraciones Públicas , la inserción de la presente resolución  en el B.O.E., por espacio de 10 días , a efectos de que por los interesados o titulares de derechos sobre los mismos puedan </w:t>
      </w:r>
      <w:r>
        <w:t xml:space="preserve">formularse alegaciones . Asimismo se publicará en la página web del Ayuntamiento y en el tablón de anuncios, </w:t>
      </w:r>
    </w:p>
    <w:p w:rsidR="00A02626" w:rsidRDefault="00EE7930">
      <w:r>
        <w:t xml:space="preserve">     CUARTO: Concluido el plazo de exposición pública se procederá sin más trámites a la realización de </w:t>
      </w:r>
      <w:proofErr w:type="gramStart"/>
      <w:r>
        <w:t>las</w:t>
      </w:r>
      <w:proofErr w:type="gramEnd"/>
      <w:r>
        <w:t xml:space="preserve"> actuaciones necesarias para dar cumpli</w:t>
      </w:r>
      <w:r>
        <w:t xml:space="preserve">miento a la exhumación. </w:t>
      </w:r>
    </w:p>
    <w:p w:rsidR="00A02626" w:rsidRDefault="00EE7930">
      <w:r>
        <w:t xml:space="preserve">     QUINTO: Notifíquese la presente al Encargado general de este Ayuntamiento así como al sepulturero municipal a los efectos oportunos.” </w:t>
      </w:r>
    </w:p>
    <w:p w:rsidR="00A02626" w:rsidRDefault="00EE7930">
      <w:r>
        <w:t xml:space="preserve"> </w:t>
      </w:r>
      <w:r>
        <w:tab/>
        <w:t xml:space="preserve">Lo que se hace público en La Puebla del Rio, en la fecha abajo indicada. </w:t>
      </w:r>
    </w:p>
    <w:p w:rsidR="00A02626" w:rsidRDefault="00EE7930">
      <w:pPr>
        <w:spacing w:after="255" w:line="276" w:lineRule="auto"/>
        <w:ind w:left="10" w:right="-15"/>
        <w:jc w:val="center"/>
      </w:pPr>
      <w:r>
        <w:t xml:space="preserve">EL ALCALDE </w:t>
      </w:r>
    </w:p>
    <w:p w:rsidR="00A02626" w:rsidRDefault="00EE7930">
      <w:pPr>
        <w:spacing w:after="254" w:line="240" w:lineRule="auto"/>
        <w:ind w:left="0" w:firstLine="0"/>
        <w:jc w:val="center"/>
      </w:pPr>
      <w:r>
        <w:t xml:space="preserve"> </w:t>
      </w:r>
    </w:p>
    <w:p w:rsidR="00A02626" w:rsidRDefault="00EE7930">
      <w:pPr>
        <w:spacing w:after="254" w:line="240" w:lineRule="auto"/>
        <w:ind w:left="0" w:firstLine="0"/>
        <w:jc w:val="center"/>
      </w:pPr>
      <w:r>
        <w:t xml:space="preserve"> </w:t>
      </w:r>
    </w:p>
    <w:p w:rsidR="00A02626" w:rsidRDefault="00EE7930">
      <w:pPr>
        <w:spacing w:after="1487" w:line="276" w:lineRule="auto"/>
        <w:ind w:left="10" w:right="-15"/>
        <w:jc w:val="center"/>
      </w:pPr>
      <w:r>
        <w:t xml:space="preserve">Firmado electrónicamente </w:t>
      </w:r>
    </w:p>
    <w:tbl>
      <w:tblPr>
        <w:tblStyle w:val="TableGrid"/>
        <w:tblW w:w="11478" w:type="dxa"/>
        <w:tblInd w:w="-1607" w:type="dxa"/>
        <w:tblCellMar>
          <w:top w:w="79" w:type="dxa"/>
          <w:left w:w="25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072"/>
        <w:gridCol w:w="5135"/>
        <w:gridCol w:w="1027"/>
        <w:gridCol w:w="2074"/>
        <w:gridCol w:w="1170"/>
      </w:tblGrid>
      <w:tr w:rsidR="00A02626">
        <w:trPr>
          <w:trHeight w:val="240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02626" w:rsidRDefault="00EE7930">
            <w:pPr>
              <w:spacing w:after="79" w:line="240" w:lineRule="auto"/>
              <w:ind w:left="43" w:firstLine="0"/>
              <w:jc w:val="left"/>
            </w:pPr>
            <w:r>
              <w:rPr>
                <w:rFonts w:ascii="Arial" w:eastAsia="Arial" w:hAnsi="Arial" w:cs="Arial"/>
                <w:sz w:val="14"/>
                <w:bdr w:val="single" w:sz="8" w:space="0" w:color="000000"/>
              </w:rPr>
              <w:lastRenderedPageBreak/>
              <w:t>Código Seguro De Verificación:</w:t>
            </w:r>
          </w:p>
          <w:p w:rsidR="00A02626" w:rsidRDefault="00EE7930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>Firmado Por</w:t>
            </w:r>
          </w:p>
        </w:tc>
        <w:tc>
          <w:tcPr>
            <w:tcW w:w="5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26" w:rsidRDefault="00EE7930">
            <w:pPr>
              <w:spacing w:after="0" w:line="276" w:lineRule="auto"/>
              <w:ind w:left="0" w:firstLine="0"/>
              <w:jc w:val="center"/>
            </w:pPr>
            <w:r>
              <w:rPr>
                <w:rFonts w:ascii="Courier New" w:eastAsia="Courier New" w:hAnsi="Courier New" w:cs="Courier New"/>
                <w:sz w:val="14"/>
              </w:rPr>
              <w:t>9nS/Re1OpCpXQN596A1AwQ==</w:t>
            </w:r>
          </w:p>
        </w:tc>
        <w:tc>
          <w:tcPr>
            <w:tcW w:w="10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02626" w:rsidRDefault="00EE7930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>Estado</w:t>
            </w:r>
          </w:p>
        </w:tc>
        <w:tc>
          <w:tcPr>
            <w:tcW w:w="20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CCCC"/>
          </w:tcPr>
          <w:p w:rsidR="00A02626" w:rsidRDefault="00EE7930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>Fecha y hora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02626" w:rsidRDefault="00EE7930">
            <w:pPr>
              <w:spacing w:after="0" w:line="276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36" name="Picture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626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26" w:rsidRDefault="00A0262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26" w:rsidRDefault="00EE7930">
            <w:pPr>
              <w:spacing w:after="0" w:line="276" w:lineRule="auto"/>
              <w:ind w:left="15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>Manuel Bejarano Álvarez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26" w:rsidRDefault="00EE7930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>Firmado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02626" w:rsidRDefault="00EE7930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>01/10/2018 12:15:40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A02626" w:rsidRDefault="00A02626">
            <w:pPr>
              <w:spacing w:after="0" w:line="276" w:lineRule="auto"/>
              <w:ind w:left="0" w:firstLine="0"/>
              <w:jc w:val="left"/>
            </w:pPr>
          </w:p>
        </w:tc>
      </w:tr>
      <w:tr w:rsidR="00A02626">
        <w:trPr>
          <w:trHeight w:val="220"/>
        </w:trPr>
        <w:tc>
          <w:tcPr>
            <w:tcW w:w="2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02626" w:rsidRDefault="00EE7930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>Observaciones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26" w:rsidRDefault="00A0262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02626" w:rsidRDefault="00EE7930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>Página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02626" w:rsidRDefault="00EE7930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>1 / 1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A02626" w:rsidRDefault="00A02626">
            <w:pPr>
              <w:spacing w:after="0" w:line="276" w:lineRule="auto"/>
              <w:ind w:left="0" w:firstLine="0"/>
              <w:jc w:val="left"/>
            </w:pPr>
          </w:p>
        </w:tc>
      </w:tr>
      <w:tr w:rsidR="00A02626">
        <w:trPr>
          <w:trHeight w:val="430"/>
        </w:trPr>
        <w:tc>
          <w:tcPr>
            <w:tcW w:w="20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</w:tcPr>
          <w:p w:rsidR="00A02626" w:rsidRDefault="00EE7930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Url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De Verificación</w:t>
            </w:r>
          </w:p>
        </w:tc>
        <w:tc>
          <w:tcPr>
            <w:tcW w:w="823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02626" w:rsidRDefault="00EE7930">
            <w:pPr>
              <w:spacing w:after="0" w:line="276" w:lineRule="auto"/>
              <w:ind w:left="0" w:firstLine="0"/>
              <w:jc w:val="center"/>
            </w:pPr>
            <w:hyperlink r:id="rId5">
              <w:r>
                <w:rPr>
                  <w:rFonts w:ascii="Courier New" w:eastAsia="Courier New" w:hAnsi="Courier New" w:cs="Courier New"/>
                  <w:sz w:val="14"/>
                </w:rPr>
                <w:t>https://portal.dipusevilla.es/vfirmaAytos/code/9nS/Re1OpCpXQN596A1AwQ==</w:t>
              </w:r>
            </w:hyperlink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02626" w:rsidRDefault="00A02626">
            <w:pPr>
              <w:spacing w:after="0" w:line="276" w:lineRule="auto"/>
              <w:ind w:left="0" w:firstLine="0"/>
              <w:jc w:val="left"/>
            </w:pPr>
          </w:p>
        </w:tc>
      </w:tr>
    </w:tbl>
    <w:p w:rsidR="00EE7930" w:rsidRDefault="00EE7930"/>
    <w:sectPr w:rsidR="00EE7930">
      <w:pgSz w:w="11900" w:h="16840"/>
      <w:pgMar w:top="1440" w:right="2070" w:bottom="1440" w:left="18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26"/>
    <w:rsid w:val="004126A7"/>
    <w:rsid w:val="00A02626"/>
    <w:rsid w:val="00E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65B6E-054C-4A8E-8EDA-1E3AE1B9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3" w:line="244" w:lineRule="auto"/>
      <w:ind w:left="8" w:hanging="10"/>
      <w:jc w:val="both"/>
    </w:pPr>
    <w:rPr>
      <w:rFonts w:ascii="Liberation Serif" w:eastAsia="Liberation Serif" w:hAnsi="Liberation Serif" w:cs="Liberation Serif"/>
      <w:color w:val="000000"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dipusevilla.es/vfirmaAytos/code/9nS/Re1OpCpXQN596A1AwQ==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Secretaria</cp:lastModifiedBy>
  <cp:revision>2</cp:revision>
  <dcterms:created xsi:type="dcterms:W3CDTF">2018-10-01T13:28:00Z</dcterms:created>
  <dcterms:modified xsi:type="dcterms:W3CDTF">2018-10-01T13:28:00Z</dcterms:modified>
</cp:coreProperties>
</file>